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1D" w:rsidRDefault="0064531D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64531D" w:rsidRDefault="0064531D">
      <w:pPr>
        <w:pStyle w:val="ConsPlusNormal"/>
        <w:jc w:val="right"/>
      </w:pPr>
      <w:r>
        <w:t>к Постановлению</w:t>
      </w:r>
    </w:p>
    <w:p w:rsidR="0064531D" w:rsidRDefault="0064531D">
      <w:pPr>
        <w:pStyle w:val="ConsPlusNormal"/>
        <w:jc w:val="right"/>
      </w:pPr>
      <w:r>
        <w:t>ГУ РЭК Рязанской области</w:t>
      </w:r>
    </w:p>
    <w:p w:rsidR="0064531D" w:rsidRDefault="0064531D">
      <w:pPr>
        <w:pStyle w:val="ConsPlusNormal"/>
        <w:jc w:val="right"/>
      </w:pPr>
      <w:r>
        <w:t>от 17 декабря 2019 г. N 363</w:t>
      </w:r>
    </w:p>
    <w:p w:rsidR="0064531D" w:rsidRDefault="0064531D">
      <w:pPr>
        <w:pStyle w:val="ConsPlusNormal"/>
        <w:jc w:val="both"/>
      </w:pPr>
    </w:p>
    <w:p w:rsidR="0064531D" w:rsidRDefault="0064531D">
      <w:pPr>
        <w:pStyle w:val="ConsPlusTitle"/>
        <w:jc w:val="center"/>
      </w:pPr>
      <w:bookmarkStart w:id="1" w:name="P29"/>
      <w:bookmarkEnd w:id="1"/>
      <w:r>
        <w:t>ЦЕНЫ (ТАРИФЫ)</w:t>
      </w:r>
    </w:p>
    <w:p w:rsidR="0064531D" w:rsidRDefault="0064531D">
      <w:pPr>
        <w:pStyle w:val="ConsPlusTitle"/>
        <w:jc w:val="center"/>
      </w:pPr>
      <w:r>
        <w:t>НА ЭЛЕКТРИЧЕСКУЮ ЭНЕРГИЮ ДЛЯ НАСЕЛЕНИЯ И ПРИРАВНЕННЫМ</w:t>
      </w:r>
    </w:p>
    <w:p w:rsidR="0064531D" w:rsidRDefault="0064531D">
      <w:pPr>
        <w:pStyle w:val="ConsPlusTitle"/>
        <w:jc w:val="center"/>
      </w:pPr>
      <w:r>
        <w:t>К НЕМУ КАТЕГОРИЯМ ПОТРЕБИТЕЛЕЙ НА ТЕРРИТОРИИ РЯЗАНСКОЙ</w:t>
      </w:r>
    </w:p>
    <w:p w:rsidR="0064531D" w:rsidRDefault="0064531D">
      <w:pPr>
        <w:pStyle w:val="ConsPlusTitle"/>
        <w:jc w:val="center"/>
      </w:pPr>
      <w:r>
        <w:t>ОБЛАСТИ</w:t>
      </w:r>
    </w:p>
    <w:p w:rsidR="0064531D" w:rsidRDefault="006453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1276"/>
        <w:gridCol w:w="1701"/>
        <w:gridCol w:w="1644"/>
      </w:tblGrid>
      <w:tr w:rsidR="0064531D">
        <w:tc>
          <w:tcPr>
            <w:tcW w:w="8986" w:type="dxa"/>
            <w:gridSpan w:val="5"/>
          </w:tcPr>
          <w:p w:rsidR="0064531D" w:rsidRDefault="0064531D">
            <w:pPr>
              <w:pStyle w:val="ConsPlusNormal"/>
              <w:jc w:val="center"/>
            </w:pPr>
            <w:r>
              <w:t>Наименование субъекта Российской Федерации: Рязанская область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NN</w:t>
            </w:r>
          </w:p>
          <w:p w:rsidR="0064531D" w:rsidRDefault="0064531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  <w:vMerge/>
          </w:tcPr>
          <w:p w:rsidR="0064531D" w:rsidRDefault="0064531D"/>
        </w:tc>
        <w:tc>
          <w:tcPr>
            <w:tcW w:w="1276" w:type="dxa"/>
            <w:vMerge/>
          </w:tcPr>
          <w:p w:rsidR="0064531D" w:rsidRDefault="0064531D"/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5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7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4531D" w:rsidRDefault="0064531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64531D" w:rsidRDefault="0064531D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5,55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6,28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bookmarkStart w:id="2" w:name="P83"/>
            <w:bookmarkEnd w:id="2"/>
            <w:r>
              <w:t>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64531D" w:rsidRDefault="0064531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3,38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3,89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2,54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4,39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3,38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2,54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bookmarkStart w:id="3" w:name="P117"/>
            <w:bookmarkEnd w:id="3"/>
            <w:r>
              <w:t>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64531D" w:rsidRDefault="0064531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64531D" w:rsidRDefault="0064531D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3,38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3,89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2,54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4,39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3,38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2,54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</w:t>
            </w:r>
            <w:r>
              <w:lastRenderedPageBreak/>
              <w:t>садоводства, огородничества и дачного хозяйства.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3,38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3,89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</w:pP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2,54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4,39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3,38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2,54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5,55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6,28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5,55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6,28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4531D" w:rsidRDefault="0064531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64531D">
        <w:tc>
          <w:tcPr>
            <w:tcW w:w="680" w:type="dxa"/>
          </w:tcPr>
          <w:p w:rsidR="0064531D" w:rsidRDefault="0064531D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5,55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  <w:tr w:rsidR="0064531D">
        <w:tc>
          <w:tcPr>
            <w:tcW w:w="680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06" w:type="dxa"/>
            <w:gridSpan w:val="4"/>
          </w:tcPr>
          <w:p w:rsidR="0064531D" w:rsidRDefault="0064531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6,28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4,83</w:t>
            </w:r>
          </w:p>
        </w:tc>
      </w:tr>
      <w:tr w:rsidR="0064531D">
        <w:tc>
          <w:tcPr>
            <w:tcW w:w="680" w:type="dxa"/>
            <w:vMerge/>
          </w:tcPr>
          <w:p w:rsidR="0064531D" w:rsidRDefault="0064531D"/>
        </w:tc>
        <w:tc>
          <w:tcPr>
            <w:tcW w:w="3685" w:type="dxa"/>
          </w:tcPr>
          <w:p w:rsidR="0064531D" w:rsidRDefault="0064531D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64531D" w:rsidRDefault="0064531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701" w:type="dxa"/>
          </w:tcPr>
          <w:p w:rsidR="0064531D" w:rsidRDefault="0064531D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3,62</w:t>
            </w:r>
          </w:p>
        </w:tc>
      </w:tr>
    </w:tbl>
    <w:p w:rsidR="0064531D" w:rsidRDefault="0064531D">
      <w:pPr>
        <w:pStyle w:val="ConsPlusNormal"/>
        <w:jc w:val="both"/>
      </w:pPr>
    </w:p>
    <w:p w:rsidR="0064531D" w:rsidRDefault="0064531D">
      <w:pPr>
        <w:pStyle w:val="ConsPlusNormal"/>
        <w:ind w:firstLine="540"/>
        <w:jc w:val="both"/>
      </w:pPr>
      <w:r>
        <w:t>--------------------------------</w:t>
      </w:r>
    </w:p>
    <w:p w:rsidR="0064531D" w:rsidRDefault="0064531D">
      <w:pPr>
        <w:pStyle w:val="ConsPlusNormal"/>
        <w:spacing w:before="220"/>
        <w:ind w:firstLine="540"/>
        <w:jc w:val="both"/>
      </w:pPr>
      <w:bookmarkStart w:id="4" w:name="P286"/>
      <w:bookmarkEnd w:id="4"/>
      <w:r>
        <w:t xml:space="preserve">&lt;1&gt; Интервалы тарифных зон суток (по месяцам календарного года) утверждаются Федеральной службой по тарифам: </w:t>
      </w:r>
      <w:hyperlink r:id="rId4" w:history="1">
        <w:r>
          <w:rPr>
            <w:color w:val="0000FF"/>
          </w:rPr>
          <w:t>Приказ</w:t>
        </w:r>
      </w:hyperlink>
      <w:r>
        <w:t xml:space="preserve"> ФСТ России от 26.11.2013 N 1473-э "Об утверждении интервалов тарифных зон суток для населения и приравненных к нему категорий потребителей".</w:t>
      </w:r>
    </w:p>
    <w:p w:rsidR="0064531D" w:rsidRDefault="0064531D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4531D" w:rsidRDefault="0064531D">
      <w:pPr>
        <w:pStyle w:val="ConsPlusNormal"/>
        <w:jc w:val="both"/>
      </w:pPr>
    </w:p>
    <w:p w:rsidR="0064531D" w:rsidRDefault="0064531D">
      <w:pPr>
        <w:pStyle w:val="ConsPlusNormal"/>
        <w:jc w:val="right"/>
        <w:outlineLvl w:val="1"/>
      </w:pPr>
      <w:r>
        <w:lastRenderedPageBreak/>
        <w:t>Таблица 1</w:t>
      </w:r>
    </w:p>
    <w:p w:rsidR="0064531D" w:rsidRDefault="0064531D">
      <w:pPr>
        <w:pStyle w:val="ConsPlusNormal"/>
        <w:jc w:val="both"/>
      </w:pPr>
    </w:p>
    <w:p w:rsidR="0064531D" w:rsidRDefault="0064531D">
      <w:pPr>
        <w:pStyle w:val="ConsPlusTitle"/>
        <w:jc w:val="center"/>
      </w:pPr>
      <w:r>
        <w:t>Балансовые показатели планового объема</w:t>
      </w:r>
    </w:p>
    <w:p w:rsidR="0064531D" w:rsidRDefault="0064531D">
      <w:pPr>
        <w:pStyle w:val="ConsPlusTitle"/>
        <w:jc w:val="center"/>
      </w:pPr>
      <w:r>
        <w:t>полезного отпуска электрической энергии, используемые</w:t>
      </w:r>
    </w:p>
    <w:p w:rsidR="0064531D" w:rsidRDefault="0064531D">
      <w:pPr>
        <w:pStyle w:val="ConsPlusTitle"/>
        <w:jc w:val="center"/>
      </w:pPr>
      <w:r>
        <w:t>при расчете цен (тарифов) на электрическую энергию</w:t>
      </w:r>
    </w:p>
    <w:p w:rsidR="0064531D" w:rsidRDefault="0064531D">
      <w:pPr>
        <w:pStyle w:val="ConsPlusTitle"/>
        <w:jc w:val="center"/>
      </w:pPr>
      <w:r>
        <w:t>для населения и приравненным к нему категориям</w:t>
      </w:r>
    </w:p>
    <w:p w:rsidR="0064531D" w:rsidRDefault="0064531D">
      <w:pPr>
        <w:pStyle w:val="ConsPlusTitle"/>
        <w:jc w:val="center"/>
      </w:pPr>
      <w:r>
        <w:t>потребителей</w:t>
      </w:r>
    </w:p>
    <w:p w:rsidR="0064531D" w:rsidRDefault="006453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531"/>
        <w:gridCol w:w="1644"/>
      </w:tblGrid>
      <w:tr w:rsidR="0064531D">
        <w:tc>
          <w:tcPr>
            <w:tcW w:w="567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5" w:type="dxa"/>
            <w:gridSpan w:val="2"/>
          </w:tcPr>
          <w:p w:rsidR="0064531D" w:rsidRDefault="0064531D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кВт.ч</w:t>
            </w:r>
            <w:proofErr w:type="spellEnd"/>
          </w:p>
        </w:tc>
      </w:tr>
      <w:tr w:rsidR="0064531D">
        <w:tc>
          <w:tcPr>
            <w:tcW w:w="567" w:type="dxa"/>
            <w:vMerge/>
          </w:tcPr>
          <w:p w:rsidR="0064531D" w:rsidRDefault="0064531D"/>
        </w:tc>
        <w:tc>
          <w:tcPr>
            <w:tcW w:w="5272" w:type="dxa"/>
            <w:vMerge/>
          </w:tcPr>
          <w:p w:rsidR="0064531D" w:rsidRDefault="0064531D"/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4531D" w:rsidRDefault="0064531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294,65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286,02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bookmarkStart w:id="6" w:name="P308"/>
            <w:bookmarkEnd w:id="6"/>
            <w:r>
              <w:t>2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64531D" w:rsidRDefault="0064531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64531D" w:rsidRDefault="0064531D">
            <w:pPr>
              <w:pStyle w:val="ConsPlusNormal"/>
            </w:pPr>
            <w: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21,80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bookmarkStart w:id="7" w:name="P315"/>
            <w:bookmarkEnd w:id="7"/>
            <w:r>
              <w:t>3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64531D" w:rsidRDefault="0064531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186,61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184,69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</w:pPr>
          </w:p>
        </w:tc>
        <w:tc>
          <w:tcPr>
            <w:tcW w:w="1644" w:type="dxa"/>
          </w:tcPr>
          <w:p w:rsidR="0064531D" w:rsidRDefault="0064531D">
            <w:pPr>
              <w:pStyle w:val="ConsPlusNormal"/>
            </w:pP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8,75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1,03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2,17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0,02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272" w:type="dxa"/>
          </w:tcPr>
          <w:p w:rsidR="0064531D" w:rsidRDefault="0064531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4531D" w:rsidRDefault="0064531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644" w:type="dxa"/>
          </w:tcPr>
          <w:p w:rsidR="0064531D" w:rsidRDefault="0064531D">
            <w:pPr>
              <w:pStyle w:val="ConsPlusNormal"/>
              <w:jc w:val="center"/>
            </w:pPr>
            <w:r>
              <w:t>3,07</w:t>
            </w:r>
          </w:p>
        </w:tc>
      </w:tr>
    </w:tbl>
    <w:p w:rsidR="0064531D" w:rsidRDefault="0064531D">
      <w:pPr>
        <w:pStyle w:val="ConsPlusNormal"/>
        <w:jc w:val="both"/>
      </w:pPr>
    </w:p>
    <w:p w:rsidR="0064531D" w:rsidRDefault="0064531D">
      <w:pPr>
        <w:pStyle w:val="ConsPlusNormal"/>
        <w:jc w:val="right"/>
        <w:outlineLvl w:val="1"/>
      </w:pPr>
      <w:r>
        <w:t>Таблица 2</w:t>
      </w:r>
    </w:p>
    <w:p w:rsidR="0064531D" w:rsidRDefault="006453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531"/>
        <w:gridCol w:w="1531"/>
      </w:tblGrid>
      <w:tr w:rsidR="0064531D">
        <w:tc>
          <w:tcPr>
            <w:tcW w:w="567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5386" w:type="dxa"/>
            <w:vMerge w:val="restart"/>
          </w:tcPr>
          <w:p w:rsidR="0064531D" w:rsidRDefault="0064531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62" w:type="dxa"/>
            <w:gridSpan w:val="2"/>
          </w:tcPr>
          <w:p w:rsidR="0064531D" w:rsidRDefault="0064531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4531D">
        <w:tc>
          <w:tcPr>
            <w:tcW w:w="567" w:type="dxa"/>
            <w:vMerge/>
          </w:tcPr>
          <w:p w:rsidR="0064531D" w:rsidRDefault="0064531D"/>
        </w:tc>
        <w:tc>
          <w:tcPr>
            <w:tcW w:w="5386" w:type="dxa"/>
            <w:vMerge/>
          </w:tcPr>
          <w:p w:rsidR="0064531D" w:rsidRDefault="0064531D"/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64531D" w:rsidRDefault="0064531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0,7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64531D" w:rsidRDefault="0064531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lastRenderedPageBreak/>
              <w:t>которых имеются жилые помещения специализированного жилого фонда;</w:t>
            </w:r>
          </w:p>
          <w:p w:rsidR="0064531D" w:rsidRDefault="0064531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64531D" w:rsidRDefault="0064531D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0,7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</w:pPr>
          </w:p>
        </w:tc>
        <w:tc>
          <w:tcPr>
            <w:tcW w:w="1531" w:type="dxa"/>
          </w:tcPr>
          <w:p w:rsidR="0064531D" w:rsidRDefault="0064531D">
            <w:pPr>
              <w:pStyle w:val="ConsPlusNormal"/>
            </w:pP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0,7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</w:t>
            </w:r>
            <w:r>
              <w:lastRenderedPageBreak/>
              <w:t xml:space="preserve">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</w:tr>
      <w:tr w:rsidR="0064531D">
        <w:tc>
          <w:tcPr>
            <w:tcW w:w="567" w:type="dxa"/>
          </w:tcPr>
          <w:p w:rsidR="0064531D" w:rsidRDefault="0064531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386" w:type="dxa"/>
          </w:tcPr>
          <w:p w:rsidR="0064531D" w:rsidRDefault="0064531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4531D" w:rsidRDefault="0064531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531D" w:rsidRDefault="0064531D">
            <w:pPr>
              <w:pStyle w:val="ConsPlusNormal"/>
            </w:pPr>
            <w:r>
              <w:t>Граждане, владеющие отдельно стоящими гаражами в городских населенных пунктах,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531D" w:rsidRDefault="0064531D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4531D" w:rsidRDefault="0064531D">
            <w:pPr>
              <w:pStyle w:val="ConsPlusNormal"/>
              <w:jc w:val="center"/>
            </w:pPr>
            <w:r>
              <w:t>1</w:t>
            </w:r>
          </w:p>
        </w:tc>
      </w:tr>
    </w:tbl>
    <w:p w:rsidR="0064531D" w:rsidRDefault="0064531D">
      <w:pPr>
        <w:pStyle w:val="ConsPlusNormal"/>
        <w:jc w:val="both"/>
      </w:pPr>
    </w:p>
    <w:p w:rsidR="0064531D" w:rsidRDefault="0064531D">
      <w:pPr>
        <w:pStyle w:val="ConsPlusNormal"/>
        <w:ind w:firstLine="540"/>
        <w:jc w:val="both"/>
      </w:pPr>
      <w:r>
        <w:t>--------------------------------</w:t>
      </w:r>
    </w:p>
    <w:p w:rsidR="0064531D" w:rsidRDefault="0064531D">
      <w:pPr>
        <w:pStyle w:val="ConsPlusNormal"/>
        <w:spacing w:before="220"/>
        <w:ind w:firstLine="540"/>
        <w:jc w:val="both"/>
      </w:pPr>
      <w:bookmarkStart w:id="8" w:name="P397"/>
      <w:bookmarkEnd w:id="8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4531D" w:rsidRDefault="0064531D">
      <w:pPr>
        <w:pStyle w:val="ConsPlusNormal"/>
        <w:jc w:val="both"/>
      </w:pPr>
    </w:p>
    <w:p w:rsidR="0064531D" w:rsidRDefault="0064531D">
      <w:pPr>
        <w:pStyle w:val="ConsPlusNormal"/>
        <w:jc w:val="both"/>
      </w:pPr>
    </w:p>
    <w:p w:rsidR="0064531D" w:rsidRDefault="00645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AAE" w:rsidRDefault="00F66AAE"/>
    <w:sectPr w:rsidR="00F66AAE" w:rsidSect="0097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1D"/>
    <w:rsid w:val="0064531D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B92E6-5541-4BA6-A574-9CE9010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33E6E992F2FC1358AF92736B9C0BC6755ED2754B8A3EE33B81A1A6B659F1FB415DF95EABD4FB6FA5EE1AC3D8m75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4026</Words>
  <Characters>22950</Characters>
  <Application>Microsoft Office Word</Application>
  <DocSecurity>0</DocSecurity>
  <Lines>191</Lines>
  <Paragraphs>53</Paragraphs>
  <ScaleCrop>false</ScaleCrop>
  <Company/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2020-01-27T10:57:00Z</dcterms:created>
  <dcterms:modified xsi:type="dcterms:W3CDTF">2020-01-27T10:59:00Z</dcterms:modified>
</cp:coreProperties>
</file>