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229C" w14:textId="77777777" w:rsidR="00182D0D" w:rsidRPr="000D2E4F" w:rsidRDefault="00182D0D" w:rsidP="00182D0D">
      <w:pPr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  <w:bookmarkStart w:id="0" w:name="_Hlk77838192"/>
      <w:r w:rsidRPr="000D2E4F">
        <w:rPr>
          <w:rFonts w:ascii="Arial" w:hAnsi="Arial" w:cs="Arial"/>
          <w:sz w:val="22"/>
          <w:szCs w:val="22"/>
        </w:rPr>
        <w:t>ТИПОВЫЕ ТЕХНИЧЕСКИЕ РЕШЕНИЯ</w:t>
      </w:r>
    </w:p>
    <w:p w14:paraId="79E67E67" w14:textId="5B04C888" w:rsidR="00182D0D" w:rsidRPr="000D2E4F" w:rsidRDefault="00182D0D" w:rsidP="00182D0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оснащения многоквартирного дома приборами учета, а также иным оборудованием, обеспечивающим возможность их присоединения к интеллектуальной системе учета электрической энергии (мощности) гарантирующего поставщика.</w:t>
      </w:r>
    </w:p>
    <w:bookmarkEnd w:id="0"/>
    <w:p w14:paraId="1A8C3D6A" w14:textId="77777777" w:rsidR="00182D0D" w:rsidRPr="000D2E4F" w:rsidRDefault="00182D0D" w:rsidP="00182D0D">
      <w:pPr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14:paraId="4A9A0014" w14:textId="6D21FE11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b/>
          <w:bCs/>
          <w:color w:val="4472C4"/>
          <w:sz w:val="22"/>
          <w:szCs w:val="22"/>
        </w:rPr>
      </w:pPr>
      <w:r w:rsidRPr="000D2E4F">
        <w:rPr>
          <w:rFonts w:ascii="Arial" w:hAnsi="Arial" w:cs="Arial"/>
          <w:b/>
          <w:bCs/>
          <w:color w:val="4472C4"/>
          <w:sz w:val="22"/>
          <w:szCs w:val="22"/>
        </w:rPr>
        <w:t xml:space="preserve">1. Область применения. </w:t>
      </w:r>
    </w:p>
    <w:p w14:paraId="1101C9BF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 xml:space="preserve">1.1. Проектная документация на многоквартирный дом (далее – МКД), разрешение на строительство которого выдано после 01.01.2021 г., должна учитывать настоящие технические требования. </w:t>
      </w:r>
    </w:p>
    <w:p w14:paraId="0CA56CFF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1.2. Технические требования устанавливают единые нормы, правила и требования к техническим решениям оснащения жилых и нежилых помещений в МКД средствами измерений, иным оборудованием и нематериальными активами, обеспечивающими их подсоединение (интегрирование) в интеллектуальную систему учёта электрической энергии (мощности) (далее – ИСУ) гарантирующего поставщика.</w:t>
      </w:r>
    </w:p>
    <w:p w14:paraId="4153267D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 xml:space="preserve">1.3. Действие технических требований распространяется на организации – застройщики, которые на личном или арендуемом земельном участке планируют возвести многоквартирные жилые дома. </w:t>
      </w:r>
    </w:p>
    <w:p w14:paraId="2DF85790" w14:textId="4F2FC0A8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b/>
          <w:bCs/>
          <w:color w:val="4472C4"/>
          <w:sz w:val="22"/>
          <w:szCs w:val="22"/>
        </w:rPr>
      </w:pPr>
      <w:r w:rsidRPr="000D2E4F">
        <w:rPr>
          <w:rFonts w:ascii="Arial" w:hAnsi="Arial" w:cs="Arial"/>
          <w:b/>
          <w:bCs/>
          <w:color w:val="4472C4"/>
          <w:sz w:val="22"/>
          <w:szCs w:val="22"/>
        </w:rPr>
        <w:t>2. Нормативное обеспечение.</w:t>
      </w:r>
    </w:p>
    <w:p w14:paraId="2B43F419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 xml:space="preserve"> В настоящем документе использованы ссылки на следующие нормативно-правовые акты, государственные стандарты и технические регламенты:</w:t>
      </w:r>
    </w:p>
    <w:p w14:paraId="68F8332E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•</w:t>
      </w:r>
      <w:r w:rsidRPr="000D2E4F">
        <w:rPr>
          <w:rFonts w:ascii="Arial" w:hAnsi="Arial" w:cs="Arial"/>
          <w:sz w:val="22"/>
          <w:szCs w:val="22"/>
        </w:rPr>
        <w:tab/>
        <w:t>Жилищный кодекс Российской Федерации от 29.12.2004 № 188-ФЗ (далее – ЖК РФ);</w:t>
      </w:r>
    </w:p>
    <w:p w14:paraId="14D04C39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•</w:t>
      </w:r>
      <w:r w:rsidRPr="000D2E4F">
        <w:rPr>
          <w:rFonts w:ascii="Arial" w:hAnsi="Arial" w:cs="Arial"/>
          <w:sz w:val="22"/>
          <w:szCs w:val="22"/>
        </w:rPr>
        <w:tab/>
        <w:t xml:space="preserve">Градостроительный кодекс Российской Федерации от 29.12.2004 № 190-ФЗ (далее – </w:t>
      </w:r>
      <w:proofErr w:type="spellStart"/>
      <w:r w:rsidRPr="000D2E4F">
        <w:rPr>
          <w:rFonts w:ascii="Arial" w:hAnsi="Arial" w:cs="Arial"/>
          <w:sz w:val="22"/>
          <w:szCs w:val="22"/>
        </w:rPr>
        <w:t>ГсК</w:t>
      </w:r>
      <w:proofErr w:type="spellEnd"/>
      <w:r w:rsidRPr="000D2E4F">
        <w:rPr>
          <w:rFonts w:ascii="Arial" w:hAnsi="Arial" w:cs="Arial"/>
          <w:sz w:val="22"/>
          <w:szCs w:val="22"/>
        </w:rPr>
        <w:t xml:space="preserve"> РФ);</w:t>
      </w:r>
    </w:p>
    <w:p w14:paraId="1608D863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•</w:t>
      </w:r>
      <w:r w:rsidRPr="000D2E4F">
        <w:rPr>
          <w:rFonts w:ascii="Arial" w:hAnsi="Arial" w:cs="Arial"/>
          <w:sz w:val="22"/>
          <w:szCs w:val="22"/>
        </w:rPr>
        <w:tab/>
        <w:t>Федеральный закон от 27.12.2018 № 522-ФЗ «О внесении изменений в отдельные законодательные акты Российской Федерации в связи с развитием систем учёта электрической энергии (мощности) в Российской Федерации» (далее – Закон №522-ФЗ);</w:t>
      </w:r>
    </w:p>
    <w:p w14:paraId="6C6211D9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•</w:t>
      </w:r>
      <w:r w:rsidRPr="000D2E4F">
        <w:rPr>
          <w:rFonts w:ascii="Arial" w:hAnsi="Arial" w:cs="Arial"/>
          <w:sz w:val="22"/>
          <w:szCs w:val="22"/>
        </w:rPr>
        <w:tab/>
        <w:t>Федеральный закон от 26.03.2003 № 35-ФЗ «Об электроэнергетике» (далее – Закон №35-ФЗ);</w:t>
      </w:r>
    </w:p>
    <w:p w14:paraId="0953A167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•</w:t>
      </w:r>
      <w:r w:rsidRPr="000D2E4F">
        <w:rPr>
          <w:rFonts w:ascii="Arial" w:hAnsi="Arial" w:cs="Arial"/>
          <w:sz w:val="22"/>
          <w:szCs w:val="22"/>
        </w:rPr>
        <w:tab/>
        <w:t>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(далее – Закон №261-ФЗ);</w:t>
      </w:r>
    </w:p>
    <w:p w14:paraId="6863B1B9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•</w:t>
      </w:r>
      <w:r w:rsidRPr="000D2E4F">
        <w:rPr>
          <w:rFonts w:ascii="Arial" w:hAnsi="Arial" w:cs="Arial"/>
          <w:sz w:val="22"/>
          <w:szCs w:val="22"/>
        </w:rPr>
        <w:tab/>
        <w:t>Федеральный закон от 27.12.2002 № 184-ФЗ «О техническом регулировании» (далее – Закон №184-ФЗ);</w:t>
      </w:r>
    </w:p>
    <w:p w14:paraId="53A60715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•</w:t>
      </w:r>
      <w:r w:rsidRPr="000D2E4F">
        <w:rPr>
          <w:rFonts w:ascii="Arial" w:hAnsi="Arial" w:cs="Arial"/>
          <w:sz w:val="22"/>
          <w:szCs w:val="22"/>
        </w:rPr>
        <w:tab/>
        <w:t xml:space="preserve">Федеральный закон от 26.06.2008 № 102-ФЗ «Об обеспечении единства измерений» (далее – Закон №102-ФЗ); </w:t>
      </w:r>
    </w:p>
    <w:p w14:paraId="236A9AA8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•</w:t>
      </w:r>
      <w:r w:rsidRPr="000D2E4F">
        <w:rPr>
          <w:rFonts w:ascii="Arial" w:hAnsi="Arial" w:cs="Arial"/>
          <w:sz w:val="22"/>
          <w:szCs w:val="22"/>
        </w:rPr>
        <w:tab/>
        <w:t xml:space="preserve">Постановление Правительства РФ от 21.12.2020 № 2184 «О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поставщикам» (далее – ПП №2184); </w:t>
      </w:r>
    </w:p>
    <w:p w14:paraId="4BBBD355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lastRenderedPageBreak/>
        <w:t>•</w:t>
      </w:r>
      <w:r w:rsidRPr="000D2E4F">
        <w:rPr>
          <w:rFonts w:ascii="Arial" w:hAnsi="Arial" w:cs="Arial"/>
          <w:sz w:val="22"/>
          <w:szCs w:val="22"/>
        </w:rPr>
        <w:tab/>
        <w:t xml:space="preserve">Постановление Правительства Российской Федерации от 19.06.2020 № 890 «О порядке предоставления доступа к минимальному набору функций интеллектуальных систем учёта электрической энергии (мощности)» (далее – ПП №890); </w:t>
      </w:r>
    </w:p>
    <w:p w14:paraId="7FA73579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•</w:t>
      </w:r>
      <w:r w:rsidRPr="000D2E4F">
        <w:rPr>
          <w:rFonts w:ascii="Arial" w:hAnsi="Arial" w:cs="Arial"/>
          <w:sz w:val="22"/>
          <w:szCs w:val="22"/>
        </w:rPr>
        <w:tab/>
        <w:t>Постановление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(далее – ПП №442);</w:t>
      </w:r>
    </w:p>
    <w:p w14:paraId="4CBB5BBE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•</w:t>
      </w:r>
      <w:r w:rsidRPr="000D2E4F">
        <w:rPr>
          <w:rFonts w:ascii="Arial" w:hAnsi="Arial" w:cs="Arial"/>
          <w:sz w:val="22"/>
          <w:szCs w:val="22"/>
        </w:rPr>
        <w:tab/>
        <w:t>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 (далее – ПП №354);</w:t>
      </w:r>
    </w:p>
    <w:p w14:paraId="4ABB5A5F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•</w:t>
      </w:r>
      <w:r w:rsidRPr="000D2E4F">
        <w:rPr>
          <w:rFonts w:ascii="Arial" w:hAnsi="Arial" w:cs="Arial"/>
          <w:sz w:val="22"/>
          <w:szCs w:val="22"/>
        </w:rPr>
        <w:tab/>
        <w:t>Постановление Правительства Российской Федерации от 17.07.2015 № 719 «О подтверждении производства промышленной продукции на территории Российской Федерации» (далее – ПП №719);</w:t>
      </w:r>
    </w:p>
    <w:p w14:paraId="1086B9E5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•</w:t>
      </w:r>
      <w:r w:rsidRPr="000D2E4F">
        <w:rPr>
          <w:rFonts w:ascii="Arial" w:hAnsi="Arial" w:cs="Arial"/>
          <w:sz w:val="22"/>
          <w:szCs w:val="22"/>
        </w:rPr>
        <w:tab/>
        <w:t>ГОСТ 12.1.038-82 «Электробезопасность.  Предельно допустимые значения напряжений прикосновения и токов»;</w:t>
      </w:r>
    </w:p>
    <w:p w14:paraId="1B962F54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•</w:t>
      </w:r>
      <w:r w:rsidRPr="000D2E4F">
        <w:rPr>
          <w:rFonts w:ascii="Arial" w:hAnsi="Arial" w:cs="Arial"/>
          <w:sz w:val="22"/>
          <w:szCs w:val="22"/>
        </w:rPr>
        <w:tab/>
        <w:t>ГОСТ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назначения»;</w:t>
      </w:r>
    </w:p>
    <w:p w14:paraId="6BA278A3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•</w:t>
      </w:r>
      <w:r w:rsidRPr="000D2E4F">
        <w:rPr>
          <w:rFonts w:ascii="Arial" w:hAnsi="Arial" w:cs="Arial"/>
          <w:sz w:val="22"/>
          <w:szCs w:val="22"/>
        </w:rPr>
        <w:tab/>
        <w:t>СП 31-110-2003 «Проектирование и монтаж электроустановок жилых и общественных зданий»;</w:t>
      </w:r>
    </w:p>
    <w:p w14:paraId="52FAFE39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•</w:t>
      </w:r>
      <w:r w:rsidRPr="000D2E4F">
        <w:rPr>
          <w:rFonts w:ascii="Arial" w:hAnsi="Arial" w:cs="Arial"/>
          <w:sz w:val="22"/>
          <w:szCs w:val="22"/>
        </w:rPr>
        <w:tab/>
        <w:t>СНиП 3.05.06-85 «Электротехнические устройства»;</w:t>
      </w:r>
    </w:p>
    <w:p w14:paraId="01F7B80A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•</w:t>
      </w:r>
      <w:r w:rsidRPr="000D2E4F">
        <w:rPr>
          <w:rFonts w:ascii="Arial" w:hAnsi="Arial" w:cs="Arial"/>
          <w:sz w:val="22"/>
          <w:szCs w:val="22"/>
        </w:rPr>
        <w:tab/>
        <w:t>Свод правил СП 256.1325800.2016 «Электроустановки жилых и общественных зданий. Правила проектирования и монтажа» (далее – СП 256.1325800.2016);</w:t>
      </w:r>
    </w:p>
    <w:p w14:paraId="175BF741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•</w:t>
      </w:r>
      <w:r w:rsidRPr="000D2E4F">
        <w:rPr>
          <w:rFonts w:ascii="Arial" w:hAnsi="Arial" w:cs="Arial"/>
          <w:sz w:val="22"/>
          <w:szCs w:val="22"/>
        </w:rPr>
        <w:tab/>
        <w:t>Правила устройства электроустановок (далее – ПУЭ);</w:t>
      </w:r>
    </w:p>
    <w:p w14:paraId="3E29451E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•</w:t>
      </w:r>
      <w:r w:rsidRPr="000D2E4F">
        <w:rPr>
          <w:rFonts w:ascii="Arial" w:hAnsi="Arial" w:cs="Arial"/>
          <w:sz w:val="22"/>
          <w:szCs w:val="22"/>
        </w:rPr>
        <w:tab/>
        <w:t>РД 34.09.101-94 «Типовая инструкция по учету электроэнергии при ее производстве, передаче и распределении» (далее – РД 34.09.101-94);</w:t>
      </w:r>
    </w:p>
    <w:p w14:paraId="504D6BD6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•</w:t>
      </w:r>
      <w:r w:rsidRPr="000D2E4F">
        <w:rPr>
          <w:rFonts w:ascii="Arial" w:hAnsi="Arial" w:cs="Arial"/>
          <w:sz w:val="22"/>
          <w:szCs w:val="22"/>
        </w:rPr>
        <w:tab/>
        <w:t>Правила технической эксплуатации электроустановок потребителей (далее – ПТЭЭП);</w:t>
      </w:r>
    </w:p>
    <w:p w14:paraId="452EC5B6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•</w:t>
      </w:r>
      <w:r w:rsidRPr="000D2E4F">
        <w:rPr>
          <w:rFonts w:ascii="Arial" w:hAnsi="Arial" w:cs="Arial"/>
          <w:sz w:val="22"/>
          <w:szCs w:val="22"/>
        </w:rPr>
        <w:tab/>
        <w:t>Правила учёта электрической энергии. Зарегистрировано в Минюсте РФ 24.10.1996 № 1182 (далее – Правила учета №1182);</w:t>
      </w:r>
    </w:p>
    <w:p w14:paraId="2E63B035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•</w:t>
      </w:r>
      <w:r w:rsidRPr="000D2E4F">
        <w:rPr>
          <w:rFonts w:ascii="Arial" w:hAnsi="Arial" w:cs="Arial"/>
          <w:sz w:val="22"/>
          <w:szCs w:val="22"/>
        </w:rPr>
        <w:tab/>
        <w:t>РМ-2559. «Инструкция по проектированию учета электропотребления в жилых и общественных зданиях» (далее – Инструкция РМ-2559).</w:t>
      </w:r>
    </w:p>
    <w:p w14:paraId="416BB9F8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 xml:space="preserve">Выбранный застройщиком вариант типового технического решения должен соответствовать нормам, правилам и требованиям указанных правовых актов, государственных стандартов и технических регламентов. Если ссылочный документ был заменен (изменен), следует руководствоваться замененным (измененным) документом. </w:t>
      </w:r>
    </w:p>
    <w:p w14:paraId="5CCA3B54" w14:textId="2F57C43A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b/>
          <w:bCs/>
          <w:color w:val="4472C4"/>
          <w:sz w:val="22"/>
          <w:szCs w:val="22"/>
        </w:rPr>
      </w:pPr>
      <w:r w:rsidRPr="000D2E4F">
        <w:rPr>
          <w:rFonts w:ascii="Arial" w:hAnsi="Arial" w:cs="Arial"/>
          <w:b/>
          <w:bCs/>
          <w:color w:val="4472C4"/>
          <w:sz w:val="22"/>
          <w:szCs w:val="22"/>
        </w:rPr>
        <w:t xml:space="preserve">3. Средства измерений, иное оборудование и нематериальные активы. </w:t>
      </w:r>
    </w:p>
    <w:p w14:paraId="5552F65B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 xml:space="preserve">3.1. Под средствами измерений для целей коммерческого учёта электрической энергии (мощности) понимаются следующие материальные объекты: </w:t>
      </w:r>
    </w:p>
    <w:p w14:paraId="6AC1F006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•</w:t>
      </w:r>
      <w:r w:rsidRPr="000D2E4F">
        <w:rPr>
          <w:rFonts w:ascii="Arial" w:hAnsi="Arial" w:cs="Arial"/>
          <w:sz w:val="22"/>
          <w:szCs w:val="22"/>
        </w:rPr>
        <w:tab/>
        <w:t>индивидуальные, общие (для коммунальной квартиры) и коллективные (общедомовые) приборы учёта электрической энергии (мощности);</w:t>
      </w:r>
    </w:p>
    <w:p w14:paraId="2D2216C2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•</w:t>
      </w:r>
      <w:r w:rsidRPr="000D2E4F">
        <w:rPr>
          <w:rFonts w:ascii="Arial" w:hAnsi="Arial" w:cs="Arial"/>
          <w:sz w:val="22"/>
          <w:szCs w:val="22"/>
        </w:rPr>
        <w:tab/>
        <w:t>измерительные элементы (трансформаторы, резистивные шунты и т.п.);</w:t>
      </w:r>
    </w:p>
    <w:p w14:paraId="0FCFDEA1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•</w:t>
      </w:r>
      <w:r w:rsidRPr="000D2E4F">
        <w:rPr>
          <w:rFonts w:ascii="Arial" w:hAnsi="Arial" w:cs="Arial"/>
          <w:sz w:val="22"/>
          <w:szCs w:val="22"/>
        </w:rPr>
        <w:tab/>
        <w:t>измерительные комплексы (совокупность приборов учёта, измерительных элементов и др.);</w:t>
      </w:r>
    </w:p>
    <w:p w14:paraId="349C8B46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lastRenderedPageBreak/>
        <w:t>•</w:t>
      </w:r>
      <w:r w:rsidRPr="000D2E4F">
        <w:rPr>
          <w:rFonts w:ascii="Arial" w:hAnsi="Arial" w:cs="Arial"/>
          <w:sz w:val="22"/>
          <w:szCs w:val="22"/>
        </w:rPr>
        <w:tab/>
        <w:t>проходные и испытательные устройства (образцовый учёт, шунтирование и отключение токовых цепей определенной фазы и т.п.);</w:t>
      </w:r>
    </w:p>
    <w:p w14:paraId="7497CC86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•</w:t>
      </w:r>
      <w:r w:rsidRPr="000D2E4F">
        <w:rPr>
          <w:rFonts w:ascii="Arial" w:hAnsi="Arial" w:cs="Arial"/>
          <w:sz w:val="22"/>
          <w:szCs w:val="22"/>
        </w:rPr>
        <w:tab/>
        <w:t>вторичные измерительные цепи, соединенные по установленной схеме.</w:t>
      </w:r>
    </w:p>
    <w:p w14:paraId="7E8E378C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 xml:space="preserve"> 3.2. Под иным оборудованием для целей коммерческого учёта электрической энергии (мощности) понимаются материальные объекты:</w:t>
      </w:r>
    </w:p>
    <w:p w14:paraId="30F5F444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•</w:t>
      </w:r>
      <w:r w:rsidRPr="000D2E4F">
        <w:rPr>
          <w:rFonts w:ascii="Arial" w:hAnsi="Arial" w:cs="Arial"/>
          <w:sz w:val="22"/>
          <w:szCs w:val="22"/>
        </w:rPr>
        <w:tab/>
        <w:t xml:space="preserve">коммутационные аппараты цепей переменного тока и вторичных измерительных цепей; </w:t>
      </w:r>
      <w:r w:rsidRPr="000D2E4F">
        <w:rPr>
          <w:rFonts w:ascii="Arial" w:hAnsi="Arial" w:cs="Arial"/>
          <w:sz w:val="22"/>
          <w:szCs w:val="22"/>
        </w:rPr>
        <w:t> аппараты защиты средств измерений от токов короткого замыкания;</w:t>
      </w:r>
    </w:p>
    <w:p w14:paraId="66A898A9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•</w:t>
      </w:r>
      <w:r w:rsidRPr="000D2E4F">
        <w:rPr>
          <w:rFonts w:ascii="Arial" w:hAnsi="Arial" w:cs="Arial"/>
          <w:sz w:val="22"/>
          <w:szCs w:val="22"/>
        </w:rPr>
        <w:tab/>
        <w:t xml:space="preserve"> оснащение и материалы для следующих целей:</w:t>
      </w:r>
    </w:p>
    <w:p w14:paraId="6CF581EE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•</w:t>
      </w:r>
      <w:r w:rsidRPr="000D2E4F">
        <w:rPr>
          <w:rFonts w:ascii="Arial" w:hAnsi="Arial" w:cs="Arial"/>
          <w:sz w:val="22"/>
          <w:szCs w:val="22"/>
        </w:rPr>
        <w:tab/>
        <w:t xml:space="preserve">монтаж, пуск, наладка и допуск в эксплуатацию средств измерений в местах их установки; </w:t>
      </w:r>
    </w:p>
    <w:p w14:paraId="21866EF0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•</w:t>
      </w:r>
      <w:r w:rsidRPr="000D2E4F">
        <w:rPr>
          <w:rFonts w:ascii="Arial" w:hAnsi="Arial" w:cs="Arial"/>
          <w:sz w:val="22"/>
          <w:szCs w:val="22"/>
        </w:rPr>
        <w:tab/>
        <w:t>организация вторичных измерительных цепей, проходных и испытательных устройств;</w:t>
      </w:r>
    </w:p>
    <w:p w14:paraId="3D5AC12F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•</w:t>
      </w:r>
      <w:r w:rsidRPr="000D2E4F">
        <w:rPr>
          <w:rFonts w:ascii="Arial" w:hAnsi="Arial" w:cs="Arial"/>
          <w:sz w:val="22"/>
          <w:szCs w:val="22"/>
        </w:rPr>
        <w:tab/>
        <w:t>организации каналов (линий) связи и средств информационного обмена;</w:t>
      </w:r>
    </w:p>
    <w:p w14:paraId="5DB1F34D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•</w:t>
      </w:r>
      <w:r w:rsidRPr="000D2E4F">
        <w:rPr>
          <w:rFonts w:ascii="Arial" w:hAnsi="Arial" w:cs="Arial"/>
          <w:sz w:val="22"/>
          <w:szCs w:val="22"/>
        </w:rPr>
        <w:tab/>
        <w:t xml:space="preserve">сбор (прием), обработка и хранение измерительной информации и учётных данных; </w:t>
      </w:r>
    </w:p>
    <w:p w14:paraId="0ECFB8E7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•</w:t>
      </w:r>
      <w:r w:rsidRPr="000D2E4F">
        <w:rPr>
          <w:rFonts w:ascii="Arial" w:hAnsi="Arial" w:cs="Arial"/>
          <w:sz w:val="22"/>
          <w:szCs w:val="22"/>
        </w:rPr>
        <w:tab/>
        <w:t>передача управляющих сигналов (команд), сигналов штатных и срочных событий.</w:t>
      </w:r>
    </w:p>
    <w:p w14:paraId="51F526EC" w14:textId="25CE04F8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b/>
          <w:bCs/>
          <w:color w:val="4472C4"/>
          <w:sz w:val="22"/>
          <w:szCs w:val="22"/>
        </w:rPr>
      </w:pPr>
      <w:r w:rsidRPr="000D2E4F">
        <w:rPr>
          <w:rFonts w:ascii="Arial" w:hAnsi="Arial" w:cs="Arial"/>
          <w:b/>
          <w:bCs/>
          <w:color w:val="4472C4"/>
          <w:sz w:val="22"/>
          <w:szCs w:val="22"/>
        </w:rPr>
        <w:t xml:space="preserve">4. Общие требования. </w:t>
      </w:r>
    </w:p>
    <w:p w14:paraId="44E2FDA2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4.1. Приборы учета электроэнергии, а также иное оборудование, используемые застройщиком при оснащении жилых и нежилых помещений в МКД, совместно должны обеспечивать возможность их присоединения к ИСУ гарантирующего поставщика ООО «РГМЭК», а также прием, обработку и передачу измерительной информации, учётных данных, управляющих сигналов (команд), сигналов оповещения о наступлении штатных и срочных событий между  измерительным комплексом  (нижний уровень), устройством сбора и передачи данных (далее – УСПД) (средний уровень) и центром сбора и обработки данных (далее – ЦСОД) (верхний уровень).</w:t>
      </w:r>
    </w:p>
    <w:p w14:paraId="5328F7C8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 xml:space="preserve">4.2. Выбранный застройщиком вариант технического решения, используемого застройщиком при оснащении жилых и нежилых помещений в МКД, должен обеспечить гарантированный приём, обработку и передачу измерительной информации, учётных данных, управляющих сигналов (команд), сигналов оповещения о наступлении штатных и срочных событий со всех средств измерения в ИСУ ООО «РГМЭК». </w:t>
      </w:r>
    </w:p>
    <w:p w14:paraId="65B69BE1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4.3. Применяемые застройщиком технологии и интерфейсы связи, спецификации и протоколы информационного обмена должны быть ратифицированы в Российской Федерации, открытыми и стандартизированными в виде совокупности унифицированных аппаратно-программных средств, методов взаимосвязи и взаимодействия, а также поведения функциональных устройств организации каналов (линий) связи и средств информационного обмена, необходимых для гарантированной взаимосвязи с функциональными элементами ИСУ ООО «РГМЭК».</w:t>
      </w:r>
    </w:p>
    <w:p w14:paraId="2986F9FB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 xml:space="preserve">4.4.  Используемые застройщиком в жилых и нежилых помещениях МКД технологии и интерфейсы связи, спецификации и протоколы информационного обмена между измерительным комплексом, УСПД и ЦСОД должны быть защищены от несанкционированного вмешательства в процесс приема, обработки и передачи измерительной информации, учётных данных, управляющих сигналов (команд), сигналов оповещения о наступлении штатных и срочных событий. </w:t>
      </w:r>
    </w:p>
    <w:p w14:paraId="3A30D399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 xml:space="preserve">Они должны учитывать риски информационной безопасности и оценки угроз, предоставлять возможность создавать защищенные сети информационного обмена данными, в соответствии с требованиями базовой модели угроз, опубликованной на сайте Минэнерго России, определяющей методы защиты информации с использованием сегментации пользователей, идентификации и </w:t>
      </w:r>
      <w:r w:rsidRPr="000D2E4F">
        <w:rPr>
          <w:rFonts w:ascii="Arial" w:hAnsi="Arial" w:cs="Arial"/>
          <w:sz w:val="22"/>
          <w:szCs w:val="22"/>
        </w:rPr>
        <w:lastRenderedPageBreak/>
        <w:t xml:space="preserve">аутентификации доступа, а также сквозного шифрования каналов (линий) связи. Выбранный застройщиком вариант технического решения должен содержать элементы информационной безопасности, действующие до, во время и после возникновения угроз, позволяющие обнаруживать вредоносные программы, сетевые угрозы и своевременно предотвращать возникающие угрозы, а также уменьшать теоретические возможности совершения атак (преднамеренных действий злоумышленников), направленных на нарушение любого из свойств доступности, целостности и конфиденциальности установленных застройщиком в жилых и нежилых помещениях МКД средств измерений, иного оборудования и нематериальных активов. </w:t>
      </w:r>
    </w:p>
    <w:p w14:paraId="7E325E02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4.5. Выбор варианта технического решения застройщик должен обосновывать результатами инструментального обследования жилых и нежилых помещений в МКД, выполненного для целей установления фактических значений показателя полной мощности принимаемого приёмником сигнала RSSI, обеспечивающих гарантированный прием, обработку и передачу измерительной информации, учётных данных, управляющих сигналов (команд), а также сигналов оповещения о наступлении штатных и срочных событий.</w:t>
      </w:r>
    </w:p>
    <w:p w14:paraId="6D4D733A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 xml:space="preserve"> Для технических решений, используемых технологию GSM, фактические значения показателя RSSI в жилых и нежилых помещениях МК не могут быть хуже -90 </w:t>
      </w:r>
      <w:proofErr w:type="spellStart"/>
      <w:r w:rsidRPr="000D2E4F">
        <w:rPr>
          <w:rFonts w:ascii="Arial" w:hAnsi="Arial" w:cs="Arial"/>
          <w:sz w:val="22"/>
          <w:szCs w:val="22"/>
        </w:rPr>
        <w:t>dBm</w:t>
      </w:r>
      <w:proofErr w:type="spellEnd"/>
      <w:r w:rsidRPr="000D2E4F">
        <w:rPr>
          <w:rFonts w:ascii="Arial" w:hAnsi="Arial" w:cs="Arial"/>
          <w:sz w:val="22"/>
          <w:szCs w:val="22"/>
        </w:rPr>
        <w:t xml:space="preserve"> (децибелов на милливатт). </w:t>
      </w:r>
    </w:p>
    <w:p w14:paraId="4F4A65B1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4.6. Для обеспечения возможности просмотра, настройки, конфигурирования данных в отношении установленного оборудования должно в полном объеме быть предоставлено программное обеспечение, обеспечивающее без иных дополнительных программных средств полный комплекс пусконаладочных работ по интеграции установленного оборудования с ПО «Пирамида 2.0.». В случае режима работы модуля связи прибора учета только в режиме TCP-клиента в ООО «РГМЭК» должно представлено программное обеспечение типа М2М ТCP-сервера. Вышеуказанное программное обеспечение должно быть безвозмездным, бессрочным, не иметь ограничений по количеству установок, лицензий, обновлений, иных ограничений для использования его ООО «РГМЭК».</w:t>
      </w:r>
    </w:p>
    <w:p w14:paraId="742C073F" w14:textId="6499814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b/>
          <w:bCs/>
          <w:color w:val="4472C4"/>
          <w:sz w:val="22"/>
          <w:szCs w:val="22"/>
        </w:rPr>
      </w:pPr>
      <w:r w:rsidRPr="000D2E4F">
        <w:rPr>
          <w:rFonts w:ascii="Arial" w:hAnsi="Arial" w:cs="Arial"/>
          <w:b/>
          <w:bCs/>
          <w:color w:val="4472C4"/>
          <w:sz w:val="22"/>
          <w:szCs w:val="22"/>
        </w:rPr>
        <w:t xml:space="preserve">5. Общие требования к приборам учета электроэнергии. </w:t>
      </w:r>
    </w:p>
    <w:p w14:paraId="581EF4D2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 xml:space="preserve">5.1. Все приборы учета электрической энергии, используемые для оснащения жилых и нежилых помещений в МКД, должны соответствовать нормам, правилам и требованиям законодательства Российской Федерации о техническом регулировании и обеспечении единства измерений (Закон №102-ФЗ). Должны быть допущены к применению в Российской Федерации и включены в Государственный реестр средств измерений. Приборы учёта, УСПД и прочие элементы ИСУ должны соответствовать требованиям Правил предоставления доступа к минимальному набору функций интеллектуальных систем учёта электрической энергии (мощности), утверждённых ПП №890.  </w:t>
      </w:r>
    </w:p>
    <w:p w14:paraId="36A2FCB9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 xml:space="preserve">5.2. Приборы учёта должны соответствовать требованиям постановления ПП №719, при условии наличия таких приборов учета в свободном доступе на соответствующем товарном рынке. </w:t>
      </w:r>
    </w:p>
    <w:p w14:paraId="25C61648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 xml:space="preserve">5.3. Все приборы учёта электрической энергии (мощности) в составе измерительного комплекса, УСПД должны быть присоединены к ИСУ ООО «РГМЭК» и должны входить в Перечень оборудования, поддерживаемого программным обеспечением «Пирамида 2.0», размещенного на официальном сайте АО ГК «Системы и технологии» </w:t>
      </w:r>
      <w:hyperlink r:id="rId4" w:history="1">
        <w:r w:rsidRPr="000D2E4F">
          <w:rPr>
            <w:rStyle w:val="a3"/>
            <w:rFonts w:ascii="Arial" w:hAnsi="Arial" w:cs="Arial"/>
            <w:sz w:val="22"/>
            <w:szCs w:val="22"/>
            <w:lang w:val="en-US"/>
          </w:rPr>
          <w:t>www</w:t>
        </w:r>
        <w:r w:rsidRPr="000D2E4F">
          <w:rPr>
            <w:rStyle w:val="a3"/>
            <w:rFonts w:ascii="Arial" w:hAnsi="Arial" w:cs="Arial"/>
            <w:sz w:val="22"/>
            <w:szCs w:val="22"/>
          </w:rPr>
          <w:t>.</w:t>
        </w:r>
        <w:proofErr w:type="spellStart"/>
        <w:r w:rsidRPr="000D2E4F">
          <w:rPr>
            <w:rStyle w:val="a3"/>
            <w:rFonts w:ascii="Arial" w:hAnsi="Arial" w:cs="Arial"/>
            <w:sz w:val="22"/>
            <w:szCs w:val="22"/>
            <w:lang w:val="en-US"/>
          </w:rPr>
          <w:t>sicon</w:t>
        </w:r>
        <w:proofErr w:type="spellEnd"/>
        <w:r w:rsidRPr="000D2E4F">
          <w:rPr>
            <w:rStyle w:val="a3"/>
            <w:rFonts w:ascii="Arial" w:hAnsi="Arial" w:cs="Arial"/>
            <w:sz w:val="22"/>
            <w:szCs w:val="22"/>
          </w:rPr>
          <w:t>.</w:t>
        </w:r>
        <w:proofErr w:type="spellStart"/>
        <w:r w:rsidRPr="000D2E4F">
          <w:rPr>
            <w:rStyle w:val="a3"/>
            <w:rFonts w:ascii="Arial" w:hAnsi="Arial" w:cs="Arial"/>
            <w:sz w:val="22"/>
            <w:szCs w:val="22"/>
            <w:lang w:val="en-US"/>
          </w:rPr>
          <w:t>ru</w:t>
        </w:r>
        <w:proofErr w:type="spellEnd"/>
      </w:hyperlink>
      <w:r w:rsidRPr="000D2E4F">
        <w:rPr>
          <w:rFonts w:ascii="Arial" w:hAnsi="Arial" w:cs="Arial"/>
          <w:sz w:val="22"/>
          <w:szCs w:val="22"/>
        </w:rPr>
        <w:t xml:space="preserve">, либо должно быть </w:t>
      </w:r>
      <w:r w:rsidRPr="000D2E4F">
        <w:rPr>
          <w:rFonts w:ascii="Arial" w:hAnsi="Arial" w:cs="Arial"/>
          <w:sz w:val="22"/>
          <w:szCs w:val="22"/>
        </w:rPr>
        <w:lastRenderedPageBreak/>
        <w:t>предоставлено официальное письмо от разработчика программного обеспечения «Пирамида 2.0» о том, что данные приборы учета поддерживаются программным обеспечением «Пирамида 2.0».</w:t>
      </w:r>
    </w:p>
    <w:p w14:paraId="3B51902A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5.4. Все приборы учёта, установленные застройщиком в жилых и нежилых помещениях многоквартирного дома, должны иметь на винтах крепления кожуха прибора учёта пломбы с клеймом первичной государственной поверки, а на винтах крепления крышки зажимной платы (клеммной колодки) пломбы с клеймом гарантирующего поставщика. Дата на клейме первичной государственной поверки не должна превышать 12 месяцев для трехфазных приборов учёта и 2 лет для однофазных приборов учёта.</w:t>
      </w:r>
    </w:p>
    <w:p w14:paraId="43146417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5.5. В трехфазной цепи переменного тока учёт активной и реактивной электрической энергии (мощности) должен производиться с использованием трехфазных приборов учёта.</w:t>
      </w:r>
    </w:p>
    <w:p w14:paraId="00508F1D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 xml:space="preserve">5.6. Приборы учета электрической энергии не должны нуждаться в дополнительном программировании и конфигурировании перед установкой, за исключением технологий, предусматривающих программирование и конфигурирование по месту установки. </w:t>
      </w:r>
    </w:p>
    <w:p w14:paraId="2D8F0D53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5.7. Приборы учета должны поддерживать режим передачи срочных событий, при которых инициатором передачи является прибор учета на верхний уровень (ЦСОД) через УСПД. В случае построения двухуровневой системы передача срочных событий осуществляется непосредственно с приборов учета.</w:t>
      </w:r>
    </w:p>
    <w:p w14:paraId="63FEEF0F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5.8. Уровень ежесуточного сбора информации с установленных приборов учета должен составлять не менее 95 %.</w:t>
      </w:r>
    </w:p>
    <w:p w14:paraId="46260CBB" w14:textId="7163D7FE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b/>
          <w:bCs/>
          <w:color w:val="4472C4"/>
          <w:sz w:val="22"/>
          <w:szCs w:val="22"/>
        </w:rPr>
      </w:pPr>
      <w:r w:rsidRPr="000D2E4F">
        <w:rPr>
          <w:rFonts w:ascii="Arial" w:hAnsi="Arial" w:cs="Arial"/>
          <w:b/>
          <w:bCs/>
          <w:color w:val="4472C4"/>
          <w:sz w:val="22"/>
          <w:szCs w:val="22"/>
        </w:rPr>
        <w:t xml:space="preserve">6. Общие требования к измерительным трансформаторам тока. </w:t>
      </w:r>
    </w:p>
    <w:p w14:paraId="3CC34C8F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 xml:space="preserve">6.1. Класс точности измерительных трансформаторов тока (далее – ТТ) для присоединения расчетных счетчиков электроэнергии должен быть не ниже 0,5. </w:t>
      </w:r>
    </w:p>
    <w:p w14:paraId="2B5CCFA2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 xml:space="preserve">6.2. Вторичные измерительные цепи ТТ подключаются к приборам учёта электрической энергии (мощности) отдельно от вторичных цепей защиты. Использование промежуточных ТТ для подключения приборов учёта электрической энергии (мощности) запрещается. </w:t>
      </w:r>
    </w:p>
    <w:p w14:paraId="229650D8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 xml:space="preserve">6.3. Нагрузка вторичных измерительных цепей трансформаторов тока не должна превышать номинальных значений подсоединяемых приборов учёта электрической энергии (мощности).  Трансформаторы тока в сетях напряжением 0,4 </w:t>
      </w:r>
      <w:proofErr w:type="spellStart"/>
      <w:r w:rsidRPr="000D2E4F">
        <w:rPr>
          <w:rFonts w:ascii="Arial" w:hAnsi="Arial" w:cs="Arial"/>
          <w:sz w:val="22"/>
          <w:szCs w:val="22"/>
        </w:rPr>
        <w:t>кВ</w:t>
      </w:r>
      <w:proofErr w:type="spellEnd"/>
      <w:r w:rsidRPr="000D2E4F">
        <w:rPr>
          <w:rFonts w:ascii="Arial" w:hAnsi="Arial" w:cs="Arial"/>
          <w:sz w:val="22"/>
          <w:szCs w:val="22"/>
        </w:rPr>
        <w:t xml:space="preserve"> должны устанавливаются после коммутационных аппаратов по направлению потока мощности. </w:t>
      </w:r>
    </w:p>
    <w:p w14:paraId="7BA843E2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 xml:space="preserve">6.4. Вторичные измерительные цепи ТТ должны выводиться на зажимы (клеммы) проходных испытательных устройств, обеспечивающие </w:t>
      </w:r>
      <w:proofErr w:type="spellStart"/>
      <w:r w:rsidRPr="000D2E4F">
        <w:rPr>
          <w:rFonts w:ascii="Arial" w:hAnsi="Arial" w:cs="Arial"/>
          <w:sz w:val="22"/>
          <w:szCs w:val="22"/>
        </w:rPr>
        <w:t>закорачивание</w:t>
      </w:r>
      <w:proofErr w:type="spellEnd"/>
      <w:r w:rsidRPr="000D2E4F">
        <w:rPr>
          <w:rFonts w:ascii="Arial" w:hAnsi="Arial" w:cs="Arial"/>
          <w:sz w:val="22"/>
          <w:szCs w:val="22"/>
        </w:rPr>
        <w:t xml:space="preserve"> вторичных измерительных цепей ТТ и отключение по каждой фазе токовых цепей приборов учёта электрической энергии (мощности) при их замене (проверке), а также включение образцового прибора учёта электрической энергии (мощности) без отсоединения вторичных измерительных цепей ТТ. Конструкция зажимов (клемм) проходных испытательных устройств должна обеспечивать возможность их пломбирования.</w:t>
      </w:r>
    </w:p>
    <w:p w14:paraId="01413801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 xml:space="preserve">6.5. Для организации учета электропотребления и с целью обеспечения выполнения требований ПУЭ, СП 256.1325800.2016, РД 34.09.101-94, Инструкции РМ-2559 необходимо: </w:t>
      </w:r>
    </w:p>
    <w:p w14:paraId="3E0E3E6D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•</w:t>
      </w:r>
      <w:r w:rsidRPr="000D2E4F">
        <w:rPr>
          <w:rFonts w:ascii="Arial" w:hAnsi="Arial" w:cs="Arial"/>
          <w:sz w:val="22"/>
          <w:szCs w:val="22"/>
        </w:rPr>
        <w:tab/>
        <w:t xml:space="preserve"> измерительные ТТ выбирать в соответствии с требованиями гл. 6 Инструкции РМ2559, СП 256.1325800.2016 и расчетной нагрузкой;</w:t>
      </w:r>
    </w:p>
    <w:p w14:paraId="437DC10D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•</w:t>
      </w:r>
      <w:r w:rsidRPr="000D2E4F">
        <w:rPr>
          <w:rFonts w:ascii="Arial" w:hAnsi="Arial" w:cs="Arial"/>
          <w:sz w:val="22"/>
          <w:szCs w:val="22"/>
        </w:rPr>
        <w:tab/>
        <w:t xml:space="preserve"> для прибора учета электроэнергии трансформаторного включения должна устанавливаться испытательная коробка и размещаться под прибором учета;</w:t>
      </w:r>
    </w:p>
    <w:p w14:paraId="4A63F2C7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lastRenderedPageBreak/>
        <w:t>•</w:t>
      </w:r>
      <w:r w:rsidRPr="000D2E4F">
        <w:rPr>
          <w:rFonts w:ascii="Arial" w:hAnsi="Arial" w:cs="Arial"/>
          <w:sz w:val="22"/>
          <w:szCs w:val="22"/>
        </w:rPr>
        <w:tab/>
        <w:t>цепи учета должны быть выполнены медным проводом сечением не менее 2,5 мм2, промаркированы, проложены единым жгутом и не иметь разрывов.</w:t>
      </w:r>
    </w:p>
    <w:p w14:paraId="77659B13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•</w:t>
      </w:r>
      <w:r w:rsidRPr="000D2E4F">
        <w:rPr>
          <w:rFonts w:ascii="Arial" w:hAnsi="Arial" w:cs="Arial"/>
          <w:sz w:val="22"/>
          <w:szCs w:val="22"/>
        </w:rPr>
        <w:tab/>
        <w:t xml:space="preserve">цепи учета должны быть защищены от механических повреждений (проложены в </w:t>
      </w:r>
      <w:proofErr w:type="spellStart"/>
      <w:r w:rsidRPr="000D2E4F">
        <w:rPr>
          <w:rFonts w:ascii="Arial" w:hAnsi="Arial" w:cs="Arial"/>
          <w:sz w:val="22"/>
          <w:szCs w:val="22"/>
        </w:rPr>
        <w:t>металлорукавах</w:t>
      </w:r>
      <w:proofErr w:type="spellEnd"/>
      <w:r w:rsidRPr="000D2E4F">
        <w:rPr>
          <w:rFonts w:ascii="Arial" w:hAnsi="Arial" w:cs="Arial"/>
          <w:sz w:val="22"/>
          <w:szCs w:val="22"/>
        </w:rPr>
        <w:t>, коробах, трубах ПВХ и т.п.);</w:t>
      </w:r>
    </w:p>
    <w:p w14:paraId="0FFB1F7E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•</w:t>
      </w:r>
      <w:r w:rsidRPr="000D2E4F">
        <w:rPr>
          <w:rFonts w:ascii="Arial" w:hAnsi="Arial" w:cs="Arial"/>
          <w:sz w:val="22"/>
          <w:szCs w:val="22"/>
        </w:rPr>
        <w:tab/>
        <w:t>контакты вторичной обмотки ТТ должны быть закрыты от несанкционированного доступа, конструкция ТТ должна обеспечивать возможность опломбирования;</w:t>
      </w:r>
    </w:p>
    <w:p w14:paraId="2FF3D45B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•</w:t>
      </w:r>
      <w:r w:rsidRPr="000D2E4F">
        <w:rPr>
          <w:rFonts w:ascii="Arial" w:hAnsi="Arial" w:cs="Arial"/>
          <w:sz w:val="22"/>
          <w:szCs w:val="22"/>
        </w:rPr>
        <w:tab/>
        <w:t xml:space="preserve"> совместное подключение приборов учета электроэнергии и измерительных приборов к ТТ не допускается. </w:t>
      </w:r>
    </w:p>
    <w:p w14:paraId="382667A6" w14:textId="2B2ADF72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b/>
          <w:bCs/>
          <w:color w:val="4472C4"/>
          <w:sz w:val="22"/>
          <w:szCs w:val="22"/>
        </w:rPr>
      </w:pPr>
      <w:r w:rsidRPr="000D2E4F">
        <w:rPr>
          <w:rFonts w:ascii="Arial" w:hAnsi="Arial" w:cs="Arial"/>
          <w:b/>
          <w:bCs/>
          <w:color w:val="4472C4"/>
          <w:sz w:val="22"/>
          <w:szCs w:val="22"/>
        </w:rPr>
        <w:t xml:space="preserve">7. Общие требования к местам установки. </w:t>
      </w:r>
    </w:p>
    <w:p w14:paraId="346314CF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7.1 Приборы учета электроэнергии и иное оборудование должны размещаться в достаточно свободном, легко доступном и не стесненном для обслуживания месте в сухих помещениях с температурой в зимнее время не ниже 0°С, на панелях в шкафах (щитах) или в нишах на стенах, имеющих жесткую конструкцию. Допускается размещение приборов учета электроэнергии и иного оборудования в деревянных, пластмассовых или металлических щитках. Высота от пола до зажимных плат (клеммных колодок) приборов учета электроэнергии и иного оборудования должна быть в пределах от 0,8 до 1,7 м. Допускается высота от пола менее 0,8 м, но не менее 0,4 м.</w:t>
      </w:r>
    </w:p>
    <w:p w14:paraId="58222A4E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 xml:space="preserve">7.2 Для размещения приборов учета электроэнергии и иного оборудования в местах, кроме жилых и нежилых помещений, где существует опасность их механического повреждения (загрязнения) и (или) доступа к ним посторонних лиц, должны быть предусмотрены запирающиеся шкафы (щиты) с окошком на уровне дисплея (индикаторов функционирования). Аналогичные шкафы (щиты) должны устанавливаться также для совместного размещения приборов учёта электрической энергии (мощности) и измерительных трансформаторов тока. </w:t>
      </w:r>
    </w:p>
    <w:p w14:paraId="31BDDBC3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 xml:space="preserve">7.3. Конструкции, типоразмеры и схемы крепления шкафов (щитов) для размещения средств измерений и иного оборудования должны обеспечивать возможность: </w:t>
      </w:r>
    </w:p>
    <w:p w14:paraId="5BA4911E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•</w:t>
      </w:r>
      <w:r w:rsidRPr="000D2E4F">
        <w:rPr>
          <w:rFonts w:ascii="Arial" w:hAnsi="Arial" w:cs="Arial"/>
          <w:sz w:val="22"/>
          <w:szCs w:val="22"/>
        </w:rPr>
        <w:tab/>
        <w:t xml:space="preserve"> свободного и не стесненного доступа для обслуживающего персонала к зажимам (клеммам) подключения приборов учета электроэнергии и иного оборудования; </w:t>
      </w:r>
    </w:p>
    <w:p w14:paraId="53601E77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•</w:t>
      </w:r>
      <w:r w:rsidRPr="000D2E4F">
        <w:rPr>
          <w:rFonts w:ascii="Arial" w:hAnsi="Arial" w:cs="Arial"/>
          <w:sz w:val="22"/>
          <w:szCs w:val="22"/>
        </w:rPr>
        <w:tab/>
        <w:t xml:space="preserve"> удобной установки (замены) приборов учета электроэнергии и иного оборудования с лицевой стороны. </w:t>
      </w:r>
    </w:p>
    <w:p w14:paraId="297D8AA8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 xml:space="preserve">7.4. Прокладка цепей переменного тока и вторичных измерительных цепей к приборам учета электроэнергии и иному оборудованию должны отвечать требованиям гл. 2.1 и 3.4. ПУЭ. </w:t>
      </w:r>
    </w:p>
    <w:p w14:paraId="503D1730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7.5. Сечение проводников кабелей, подсоединяемых к приборам учета электроэнергии и иному оборудованию, должны приниматься в соответствии с требованиями п.3.4.4 ПУЭ.</w:t>
      </w:r>
    </w:p>
    <w:p w14:paraId="52AF6334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7.6. При монтаже проводников для непосредственного подключения приборов учета электроэнергии и иного оборудования перед зажимами (клеммами) необходимо оставлять свободные концы проводников длиной не менее 120 мм. Изоляция проводников (фаз и нейтрали) на длине не менее 100 мм должна иметь отличительную маркировку проводников по цвету.</w:t>
      </w:r>
    </w:p>
    <w:p w14:paraId="2D7DA8C5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 xml:space="preserve">7.7. Для безопасной установки (замены) приборов учета электроэнергии и иного оборудования в сетях напряжением 0,4 </w:t>
      </w:r>
      <w:proofErr w:type="spellStart"/>
      <w:r w:rsidRPr="000D2E4F">
        <w:rPr>
          <w:rFonts w:ascii="Arial" w:hAnsi="Arial" w:cs="Arial"/>
          <w:sz w:val="22"/>
          <w:szCs w:val="22"/>
        </w:rPr>
        <w:t>кВ</w:t>
      </w:r>
      <w:proofErr w:type="spellEnd"/>
      <w:r w:rsidRPr="000D2E4F">
        <w:rPr>
          <w:rFonts w:ascii="Arial" w:hAnsi="Arial" w:cs="Arial"/>
          <w:sz w:val="22"/>
          <w:szCs w:val="22"/>
        </w:rPr>
        <w:t xml:space="preserve"> должна предусматриваться возможность отключения (снятие напряжения) со всех питающих фаз приборов учета электроэнергии и иного оборудования коммутационными аппаратами (предохранителями), установленными на расстоянии не более 10 м до них.</w:t>
      </w:r>
    </w:p>
    <w:p w14:paraId="48C0501A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lastRenderedPageBreak/>
        <w:t>7.8. Для целей безопасной установки (замены) и технического обслуживания приборов учета электроэнергии и иного оборудования в местах их размещения нужно исключить наличие открытых (неизолированных) токоведущих частей.</w:t>
      </w:r>
    </w:p>
    <w:p w14:paraId="14CDDAAD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7.9. Заземление (зануление) приборов учета электроэнергии и иного оборудования должно выполняться в соответствии с требованиями гл.1.7. ПУЭ. Проводники заземления (зануления) от приборов учета и иного оборудования до ближайшей сборки зажимов (клемм) заземления (зануления) должны быть выполнены из меди.</w:t>
      </w:r>
    </w:p>
    <w:p w14:paraId="384AE189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 xml:space="preserve">7.10. Если объект автоматизации имеет несколько подсоединений (вводов) с раздельным учётом электрической энергии (мощности), на панелях в шкафах (щитах) или в нишах размещения средств измерений должны быть надписи с наименованием присоединений. </w:t>
      </w:r>
    </w:p>
    <w:p w14:paraId="429DEED9" w14:textId="638FA10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b/>
          <w:bCs/>
          <w:color w:val="4472C4"/>
          <w:sz w:val="22"/>
          <w:szCs w:val="22"/>
        </w:rPr>
      </w:pPr>
      <w:r w:rsidRPr="000D2E4F">
        <w:rPr>
          <w:rFonts w:ascii="Arial" w:hAnsi="Arial" w:cs="Arial"/>
          <w:b/>
          <w:bCs/>
          <w:color w:val="4472C4"/>
          <w:sz w:val="22"/>
          <w:szCs w:val="22"/>
        </w:rPr>
        <w:t>Техническое решение №1. Оснащение жилых и нежилых помещений в МКД приборами учета электроэнергии, а также иным оборудованием на основе промышленного интерфейса RS-485.</w:t>
      </w:r>
    </w:p>
    <w:p w14:paraId="3FE0C862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 xml:space="preserve">Все приборы учёта электроэнергии в составе измерительного комплекса должны быть оснащены универсальными приема-передатчиками промышленного интерфейса RS-485, обеспечивающими гарантированный приём, обработку и передачу измерительной информации, учётных данных, управляющих сигналов (команд), а также сигналов оповещения о наступлении штатных и срочных событий на УСПД. Обмен измерительной информацией, учётными данными, управляющими сигналами (командами) и сигналами оповещения между измерительным комплексом и УСПД системы осуществляется по одному организованному каналу (линии) связи с использованием промышленного интерфейса RS-485 со скоростью не менее 9600 бит/с. </w:t>
      </w:r>
    </w:p>
    <w:p w14:paraId="2D74315E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В качестве канала (линии) связи между приборами учёта в составе измерительного комплекса и УСПД должна быть проложена внутридомовая экранированная кабельная сеть (общая проводная шина витая пара), по которой осуществляется прием, обработка и передача унифицированных дискретных сигналов с использованием промышленного интерфейса RS-485.</w:t>
      </w:r>
    </w:p>
    <w:p w14:paraId="5D96ADDA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 xml:space="preserve">УСПД должны быть оснащены на входе универсальными приема-передатчиками промышленного интерфейса RS-485, а на выходе – проводным соединением через </w:t>
      </w:r>
      <w:proofErr w:type="spellStart"/>
      <w:r w:rsidRPr="000D2E4F">
        <w:rPr>
          <w:rFonts w:ascii="Arial" w:hAnsi="Arial" w:cs="Arial"/>
          <w:sz w:val="22"/>
          <w:szCs w:val="22"/>
        </w:rPr>
        <w:t>Интернетпровайдера</w:t>
      </w:r>
      <w:proofErr w:type="spellEnd"/>
      <w:r w:rsidRPr="000D2E4F">
        <w:rPr>
          <w:rFonts w:ascii="Arial" w:hAnsi="Arial" w:cs="Arial"/>
          <w:sz w:val="22"/>
          <w:szCs w:val="22"/>
        </w:rPr>
        <w:t xml:space="preserve"> (предпочтительно) и/или </w:t>
      </w:r>
      <w:proofErr w:type="spellStart"/>
      <w:r w:rsidRPr="000D2E4F">
        <w:rPr>
          <w:rFonts w:ascii="Arial" w:hAnsi="Arial" w:cs="Arial"/>
          <w:sz w:val="22"/>
          <w:szCs w:val="22"/>
        </w:rPr>
        <w:t>мультичастотными</w:t>
      </w:r>
      <w:proofErr w:type="spellEnd"/>
      <w:r w:rsidRPr="000D2E4F">
        <w:rPr>
          <w:rFonts w:ascii="Arial" w:hAnsi="Arial" w:cs="Arial"/>
          <w:sz w:val="22"/>
          <w:szCs w:val="22"/>
        </w:rPr>
        <w:t xml:space="preserve"> GSM-модемами, поддерживающими стандарты GPRS, EDGE и LTE, обеспечивающими прием, обработку и передачу измерительной информации, учётных данных, управляющих сигналов (команд) и сигналов оповещения о наступлении штатных и срочных событий на ЦСОД и обратно.</w:t>
      </w:r>
    </w:p>
    <w:p w14:paraId="789861B4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b/>
          <w:bCs/>
          <w:color w:val="4472C4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 xml:space="preserve"> Между УСПД и ЦСОД должна быть организована беспроводная сеть с использованием проводного соединения через Интернет-провайдера или технологии GSM стандартов GPRS, EDGE и LTE.</w:t>
      </w:r>
    </w:p>
    <w:p w14:paraId="08E92A9C" w14:textId="30902F46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b/>
          <w:bCs/>
          <w:color w:val="4472C4"/>
          <w:sz w:val="22"/>
          <w:szCs w:val="22"/>
        </w:rPr>
      </w:pPr>
      <w:r w:rsidRPr="000D2E4F">
        <w:rPr>
          <w:rFonts w:ascii="Arial" w:hAnsi="Arial" w:cs="Arial"/>
          <w:b/>
          <w:bCs/>
          <w:color w:val="4472C4"/>
          <w:sz w:val="22"/>
          <w:szCs w:val="22"/>
        </w:rPr>
        <w:t>Техническое решение №2. Оснащение МКД приборами учета электроэнергии, а также иным оборудованием на основе технологии PLC.</w:t>
      </w:r>
    </w:p>
    <w:p w14:paraId="74144BA8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Все приборы в составе измерительного комплекса (нижний уровень) должны быть оснащены универсальными модулями информационного обмена технологий PLC (Power Line Communications), обеспечивающими гарантированный приём, обработку и передачу измерительной информации, учётных данных, управляющих сигналов (команд), а также сигналов оповещения о наступлении штатных и срочных событий на УСПД со скоростью не менее 1200 бит/с.</w:t>
      </w:r>
    </w:p>
    <w:p w14:paraId="49A75395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lastRenderedPageBreak/>
        <w:t xml:space="preserve">Обмен измерительной информацией, учётными данными, управляющими сигналами (командами) и сигналами оповещения о наступлении штатных и срочных событий между измерительным комплексом и УСПД осуществляется по каналу (линиям) связи (основному). </w:t>
      </w:r>
    </w:p>
    <w:p w14:paraId="333E562B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 xml:space="preserve">В качестве канала связи должны быть использованы внутридомовые низковольтные (0,4 </w:t>
      </w:r>
      <w:proofErr w:type="spellStart"/>
      <w:r w:rsidRPr="000D2E4F">
        <w:rPr>
          <w:rFonts w:ascii="Arial" w:hAnsi="Arial" w:cs="Arial"/>
          <w:sz w:val="22"/>
          <w:szCs w:val="22"/>
        </w:rPr>
        <w:t>кВ</w:t>
      </w:r>
      <w:proofErr w:type="spellEnd"/>
      <w:r w:rsidRPr="000D2E4F">
        <w:rPr>
          <w:rFonts w:ascii="Arial" w:hAnsi="Arial" w:cs="Arial"/>
          <w:sz w:val="22"/>
          <w:szCs w:val="22"/>
        </w:rPr>
        <w:t xml:space="preserve">) линии электропередачи, по которым осуществляется приём, обработка и передача унифицированных дискретных сигналов с использованием узкополосной технологии PLC и стандартизированных спецификаций сетевых протоколов PLC, PLC-PRIME, G3-PLC. </w:t>
      </w:r>
    </w:p>
    <w:p w14:paraId="797C7DB1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 xml:space="preserve">УСПД должны быть оснащены на входе универсальными приёма-передатчиками технологии PLC, в соответствии с ГОСТ Р 51317.3.8-99, а на выходе – проводным соединением через Интернет-провайдера (предпочтительно) или </w:t>
      </w:r>
      <w:proofErr w:type="spellStart"/>
      <w:r w:rsidRPr="000D2E4F">
        <w:rPr>
          <w:rFonts w:ascii="Arial" w:hAnsi="Arial" w:cs="Arial"/>
          <w:sz w:val="22"/>
          <w:szCs w:val="22"/>
        </w:rPr>
        <w:t>мультичастотными</w:t>
      </w:r>
      <w:proofErr w:type="spellEnd"/>
      <w:r w:rsidRPr="000D2E4F">
        <w:rPr>
          <w:rFonts w:ascii="Arial" w:hAnsi="Arial" w:cs="Arial"/>
          <w:sz w:val="22"/>
          <w:szCs w:val="22"/>
        </w:rPr>
        <w:t xml:space="preserve"> GSM-модемами, поддерживающими стандарты GPRS, EDGE и LTE, обеспечивающими приём, обработку и передачу измерительной информации, учётных данных, управляющих сигналов (команд) и сигналов оповещения о наступлении штатных и срочных событий на ЦСОД и обратно.</w:t>
      </w:r>
    </w:p>
    <w:p w14:paraId="37EEF9D8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b/>
          <w:bCs/>
          <w:color w:val="4472C4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Между УСПД и ЦСОД должна быть организована беспроводная сеть с использованием проводного соединения через Интернет-провайдера или технологии GSM стандартов GPRS, EDGE и LTE.</w:t>
      </w:r>
    </w:p>
    <w:p w14:paraId="65F3A7C3" w14:textId="693C7BD1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b/>
          <w:bCs/>
          <w:color w:val="4472C4"/>
          <w:sz w:val="22"/>
          <w:szCs w:val="22"/>
        </w:rPr>
      </w:pPr>
      <w:r w:rsidRPr="000D2E4F">
        <w:rPr>
          <w:rFonts w:ascii="Arial" w:hAnsi="Arial" w:cs="Arial"/>
          <w:b/>
          <w:bCs/>
          <w:color w:val="4472C4"/>
          <w:sz w:val="22"/>
          <w:szCs w:val="22"/>
        </w:rPr>
        <w:t>Техническое решение №3. Оснащение МКД приборами учета электроэнергии, а также иным оборудованием на основе GSM стандартов GPRS, EDGE, LTE и NB-</w:t>
      </w:r>
      <w:proofErr w:type="spellStart"/>
      <w:r w:rsidRPr="000D2E4F">
        <w:rPr>
          <w:rFonts w:ascii="Arial" w:hAnsi="Arial" w:cs="Arial"/>
          <w:b/>
          <w:bCs/>
          <w:color w:val="4472C4"/>
          <w:sz w:val="22"/>
          <w:szCs w:val="22"/>
        </w:rPr>
        <w:t>IoT</w:t>
      </w:r>
      <w:proofErr w:type="spellEnd"/>
      <w:r w:rsidRPr="000D2E4F">
        <w:rPr>
          <w:rFonts w:ascii="Arial" w:hAnsi="Arial" w:cs="Arial"/>
          <w:b/>
          <w:bCs/>
          <w:color w:val="4472C4"/>
          <w:sz w:val="22"/>
          <w:szCs w:val="22"/>
        </w:rPr>
        <w:t>.</w:t>
      </w:r>
    </w:p>
    <w:p w14:paraId="4F77CAF1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bookmarkStart w:id="1" w:name="_Hlk77839266"/>
      <w:r w:rsidRPr="000D2E4F">
        <w:rPr>
          <w:rFonts w:ascii="Arial" w:hAnsi="Arial" w:cs="Arial"/>
          <w:sz w:val="22"/>
          <w:szCs w:val="22"/>
        </w:rPr>
        <w:t xml:space="preserve">Все приборы в составе измерительного комплекса (нижний уровень) должны быть оснащены </w:t>
      </w:r>
      <w:proofErr w:type="spellStart"/>
      <w:r w:rsidRPr="000D2E4F">
        <w:rPr>
          <w:rFonts w:ascii="Arial" w:hAnsi="Arial" w:cs="Arial"/>
          <w:sz w:val="22"/>
          <w:szCs w:val="22"/>
        </w:rPr>
        <w:t>мультичастотными</w:t>
      </w:r>
      <w:proofErr w:type="spellEnd"/>
      <w:r w:rsidRPr="000D2E4F">
        <w:rPr>
          <w:rFonts w:ascii="Arial" w:hAnsi="Arial" w:cs="Arial"/>
          <w:sz w:val="22"/>
          <w:szCs w:val="22"/>
        </w:rPr>
        <w:t xml:space="preserve"> модулями информационного обмена технологии GSM (Global System </w:t>
      </w:r>
      <w:proofErr w:type="spellStart"/>
      <w:r w:rsidRPr="000D2E4F">
        <w:rPr>
          <w:rFonts w:ascii="Arial" w:hAnsi="Arial" w:cs="Arial"/>
          <w:sz w:val="22"/>
          <w:szCs w:val="22"/>
        </w:rPr>
        <w:t>for</w:t>
      </w:r>
      <w:proofErr w:type="spellEnd"/>
      <w:r w:rsidRPr="000D2E4F">
        <w:rPr>
          <w:rFonts w:ascii="Arial" w:hAnsi="Arial" w:cs="Arial"/>
          <w:sz w:val="22"/>
          <w:szCs w:val="22"/>
        </w:rPr>
        <w:t xml:space="preserve"> Mobile </w:t>
      </w:r>
      <w:proofErr w:type="spellStart"/>
      <w:r w:rsidRPr="000D2E4F">
        <w:rPr>
          <w:rFonts w:ascii="Arial" w:hAnsi="Arial" w:cs="Arial"/>
          <w:sz w:val="22"/>
          <w:szCs w:val="22"/>
        </w:rPr>
        <w:t>сommunications</w:t>
      </w:r>
      <w:proofErr w:type="spellEnd"/>
      <w:r w:rsidRPr="000D2E4F">
        <w:rPr>
          <w:rFonts w:ascii="Arial" w:hAnsi="Arial" w:cs="Arial"/>
          <w:sz w:val="22"/>
          <w:szCs w:val="22"/>
        </w:rPr>
        <w:t>) стандартов GPRS, EDGE, LTE и NB-</w:t>
      </w:r>
      <w:proofErr w:type="spellStart"/>
      <w:r w:rsidRPr="000D2E4F">
        <w:rPr>
          <w:rFonts w:ascii="Arial" w:hAnsi="Arial" w:cs="Arial"/>
          <w:sz w:val="22"/>
          <w:szCs w:val="22"/>
        </w:rPr>
        <w:t>IoT</w:t>
      </w:r>
      <w:proofErr w:type="spellEnd"/>
      <w:r w:rsidRPr="000D2E4F">
        <w:rPr>
          <w:rFonts w:ascii="Arial" w:hAnsi="Arial" w:cs="Arial"/>
          <w:sz w:val="22"/>
          <w:szCs w:val="22"/>
        </w:rPr>
        <w:t>, обеспечивающими гарантированный прием, обработку и передачу измерительной информации, учётных данных, управляющих сигналов (команд), а также сигналов оповещения о наступлении штатных и срочных событий непосредственно на ЦСОД.</w:t>
      </w:r>
    </w:p>
    <w:p w14:paraId="41B156FE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 xml:space="preserve">Обмен измерительной информацией, учётными данными, управляющими сигналами (командами) и сигналами оповещения о наступлении штатных и срочных событий между измерительным комплексом и УСПД осуществляется по каналу (линиям) связи (основному).  </w:t>
      </w:r>
    </w:p>
    <w:p w14:paraId="4B632723" w14:textId="77777777" w:rsidR="0098235B" w:rsidRPr="000D2E4F" w:rsidRDefault="0098235B" w:rsidP="0098235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Обмен измерительной информацией, учётными данными, управляющими сигналами (командами), сигналами оповещения о наступлении штатных и срочных событий между измерительным комплексом (нижний уровень) и ЦСОД осуществляется по одному из организованных каналов (линий) связи с использованием технологии GSM стандартов GPRS, EDGE, LTE и NB-</w:t>
      </w:r>
      <w:proofErr w:type="spellStart"/>
      <w:r w:rsidRPr="000D2E4F">
        <w:rPr>
          <w:rFonts w:ascii="Arial" w:hAnsi="Arial" w:cs="Arial"/>
          <w:sz w:val="22"/>
          <w:szCs w:val="22"/>
        </w:rPr>
        <w:t>IoT</w:t>
      </w:r>
      <w:proofErr w:type="spellEnd"/>
      <w:r w:rsidRPr="000D2E4F">
        <w:rPr>
          <w:rFonts w:ascii="Arial" w:hAnsi="Arial" w:cs="Arial"/>
          <w:sz w:val="22"/>
          <w:szCs w:val="22"/>
        </w:rPr>
        <w:t>.</w:t>
      </w:r>
    </w:p>
    <w:p w14:paraId="5B1AB4D0" w14:textId="550FBB03" w:rsidR="000815BF" w:rsidRPr="000D2E4F" w:rsidRDefault="0098235B" w:rsidP="000D2E4F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2E4F">
        <w:rPr>
          <w:rFonts w:ascii="Arial" w:hAnsi="Arial" w:cs="Arial"/>
          <w:sz w:val="22"/>
          <w:szCs w:val="22"/>
        </w:rPr>
        <w:t>В качестве канала (линии) связи между приборами учёта в составе измерительного комплекса (нижний уровень) и ЦСОД (верхний уровень) используется действующая инфраструктура сотовой сети мобильной связи, по которой осуществляется приема-передача унифицированных дискретных сигналов с использованием технологии GSM стандартов GPRS, EDGE, LTE и NB-</w:t>
      </w:r>
      <w:proofErr w:type="spellStart"/>
      <w:r w:rsidRPr="000D2E4F">
        <w:rPr>
          <w:rFonts w:ascii="Arial" w:hAnsi="Arial" w:cs="Arial"/>
          <w:sz w:val="22"/>
          <w:szCs w:val="22"/>
        </w:rPr>
        <w:t>IoT</w:t>
      </w:r>
      <w:proofErr w:type="spellEnd"/>
      <w:r w:rsidRPr="000D2E4F">
        <w:rPr>
          <w:rFonts w:ascii="Arial" w:hAnsi="Arial" w:cs="Arial"/>
          <w:sz w:val="22"/>
          <w:szCs w:val="22"/>
        </w:rPr>
        <w:t xml:space="preserve"> и стандартизированной спецификации сетевых протоколов CSD, HSCSD, CDMA, UMTS, HSUPA, WiMax, LTE, SMS и </w:t>
      </w:r>
      <w:proofErr w:type="spellStart"/>
      <w:r w:rsidRPr="000D2E4F">
        <w:rPr>
          <w:rFonts w:ascii="Arial" w:hAnsi="Arial" w:cs="Arial"/>
          <w:sz w:val="22"/>
          <w:szCs w:val="22"/>
        </w:rPr>
        <w:t>NBIoT</w:t>
      </w:r>
      <w:proofErr w:type="spellEnd"/>
      <w:r w:rsidRPr="000D2E4F">
        <w:rPr>
          <w:rFonts w:ascii="Arial" w:hAnsi="Arial" w:cs="Arial"/>
          <w:sz w:val="22"/>
          <w:szCs w:val="22"/>
        </w:rPr>
        <w:t>.</w:t>
      </w:r>
      <w:bookmarkEnd w:id="1"/>
    </w:p>
    <w:sectPr w:rsidR="000815BF" w:rsidRPr="000D2E4F" w:rsidSect="000D2E4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0D"/>
    <w:rsid w:val="000815BF"/>
    <w:rsid w:val="000D2E4F"/>
    <w:rsid w:val="00182D0D"/>
    <w:rsid w:val="004A0C21"/>
    <w:rsid w:val="0078256B"/>
    <w:rsid w:val="0098235B"/>
    <w:rsid w:val="00E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3884"/>
  <w15:chartTrackingRefBased/>
  <w15:docId w15:val="{D12E6A6F-0474-4AB0-84F6-73D10CEF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82D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3536</Words>
  <Characters>20158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Эльвира Владимировна</dc:creator>
  <cp:keywords/>
  <dc:description/>
  <cp:lastModifiedBy>Давыдова Эльвира Владимировна</cp:lastModifiedBy>
  <cp:revision>4</cp:revision>
  <dcterms:created xsi:type="dcterms:W3CDTF">2021-07-20T11:30:00Z</dcterms:created>
  <dcterms:modified xsi:type="dcterms:W3CDTF">2021-07-22T06:49:00Z</dcterms:modified>
</cp:coreProperties>
</file>